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B2" w:rsidRDefault="00076FB2" w:rsidP="00386211">
      <w:pPr>
        <w:spacing w:line="320" w:lineRule="exact"/>
        <w:rPr>
          <w:b/>
        </w:rPr>
      </w:pPr>
      <w:bookmarkStart w:id="0" w:name="_GoBack"/>
      <w:bookmarkEnd w:id="0"/>
      <w:r w:rsidRPr="00076FB2">
        <w:rPr>
          <w:b/>
        </w:rPr>
        <w:t>Förderrichtlinie „Klimaresiliente Region mit internationaler Strahlkraft</w:t>
      </w:r>
      <w:r w:rsidR="00003580">
        <w:rPr>
          <w:b/>
        </w:rPr>
        <w:t>“</w:t>
      </w:r>
      <w:r w:rsidRPr="00076FB2">
        <w:rPr>
          <w:b/>
        </w:rPr>
        <w:t xml:space="preserve"> (</w:t>
      </w:r>
      <w:proofErr w:type="spellStart"/>
      <w:r w:rsidRPr="00076FB2">
        <w:rPr>
          <w:b/>
        </w:rPr>
        <w:t>KRiS</w:t>
      </w:r>
      <w:proofErr w:type="spellEnd"/>
      <w:r w:rsidRPr="00076FB2">
        <w:rPr>
          <w:b/>
        </w:rPr>
        <w:t>)</w:t>
      </w:r>
    </w:p>
    <w:p w:rsidR="00003580" w:rsidRPr="00003580" w:rsidRDefault="00003580" w:rsidP="00386211">
      <w:pPr>
        <w:spacing w:line="320" w:lineRule="exact"/>
      </w:pPr>
    </w:p>
    <w:p w:rsidR="00A5615B" w:rsidRPr="00076FB2" w:rsidRDefault="00076FB2" w:rsidP="00386211">
      <w:pPr>
        <w:spacing w:line="320" w:lineRule="exact"/>
        <w:rPr>
          <w:b/>
        </w:rPr>
      </w:pPr>
      <w:r w:rsidRPr="00076FB2">
        <w:rPr>
          <w:b/>
        </w:rPr>
        <w:t>Bewertungsmatrix zur wasserwirtschaftlichen Relevanz von Einzelmaßnahmen</w:t>
      </w:r>
    </w:p>
    <w:p w:rsidR="00076FB2" w:rsidRDefault="00076FB2" w:rsidP="00386211">
      <w:pPr>
        <w:spacing w:line="320" w:lineRule="exact"/>
      </w:pPr>
    </w:p>
    <w:p w:rsidR="00076FB2" w:rsidRDefault="00076FB2" w:rsidP="00386211">
      <w:pPr>
        <w:spacing w:line="320" w:lineRule="exact"/>
      </w:pPr>
    </w:p>
    <w:p w:rsidR="00003580" w:rsidRDefault="00003580" w:rsidP="00386211">
      <w:pPr>
        <w:spacing w:line="320" w:lineRule="exact"/>
      </w:pPr>
      <w:r>
        <w:t>Die Förderrichtlinie sieht vor, dass Einzelmaßnahmen, die außerhalb von Betrachtungsräumen umgesetzt werden, eine wasserwirts</w:t>
      </w:r>
      <w:r w:rsidR="002F28BD">
        <w:t>chaftliche Relevanz bezüglich</w:t>
      </w:r>
      <w:r>
        <w:t xml:space="preserve"> Abkoppl</w:t>
      </w:r>
      <w:r w:rsidR="002F28BD">
        <w:t>ung aufweisen müssen (siehe Ziffe</w:t>
      </w:r>
      <w:r w:rsidR="00813FE9">
        <w:t xml:space="preserve">r 4.2c bzw. Ziffer 4.3b </w:t>
      </w:r>
      <w:proofErr w:type="spellStart"/>
      <w:r w:rsidR="00813FE9">
        <w:t>FöRL</w:t>
      </w:r>
      <w:proofErr w:type="spellEnd"/>
      <w:r w:rsidR="00813FE9">
        <w:t xml:space="preserve"> </w:t>
      </w:r>
      <w:proofErr w:type="spellStart"/>
      <w:r w:rsidR="00813FE9">
        <w:t>KRi</w:t>
      </w:r>
      <w:r w:rsidR="002F28BD">
        <w:t>S</w:t>
      </w:r>
      <w:proofErr w:type="spellEnd"/>
      <w:r w:rsidR="002F28BD">
        <w:t>).</w:t>
      </w:r>
    </w:p>
    <w:p w:rsidR="00E85741" w:rsidRDefault="00E85741" w:rsidP="00386211">
      <w:pPr>
        <w:spacing w:line="320" w:lineRule="exact"/>
      </w:pPr>
    </w:p>
    <w:p w:rsidR="002F28BD" w:rsidRDefault="002F28BD" w:rsidP="00386211">
      <w:pPr>
        <w:spacing w:line="320" w:lineRule="exact"/>
      </w:pPr>
      <w:r>
        <w:t>Um die Beurteilung der Einzelmaßnahmen zu vereinfachen, zu vereinheitlichen und</w:t>
      </w:r>
      <w:r w:rsidR="00370619">
        <w:t xml:space="preserve"> nachvollziehbar zu machen,</w:t>
      </w:r>
      <w:r w:rsidR="0086529A">
        <w:t xml:space="preserve"> wurde </w:t>
      </w:r>
      <w:r>
        <w:t>eine Bewertungsmatrix entwickelt.</w:t>
      </w:r>
      <w:r w:rsidR="00E85741">
        <w:t xml:space="preserve"> Mit Hilfe der Matrix werden verschiedene Kriterien (Parameter) hinsichtlich</w:t>
      </w:r>
      <w:r w:rsidR="00813FE9">
        <w:t xml:space="preserve"> ihres Erfüllungsgrades mit Punkten (1 bis 3 Punkte) und</w:t>
      </w:r>
      <w:r w:rsidR="00E85741">
        <w:t xml:space="preserve"> ihrer Bedeutung für die wasserwirtscha</w:t>
      </w:r>
      <w:r w:rsidR="00813FE9">
        <w:t>ftliche Relevanz mit</w:t>
      </w:r>
      <w:r w:rsidR="00E85741">
        <w:t xml:space="preserve"> einer Gewichtung </w:t>
      </w:r>
      <w:r w:rsidR="00813FE9">
        <w:t xml:space="preserve">(1- bis 7fach) </w:t>
      </w:r>
      <w:r w:rsidR="00E85741">
        <w:t>bewertet.</w:t>
      </w:r>
      <w:r w:rsidR="006814B7">
        <w:t xml:space="preserve"> Insgesamt muss eine Maßnahme mindestens 25 Punkte erreichen, um förderfähig zu sein.</w:t>
      </w:r>
    </w:p>
    <w:p w:rsidR="00E85741" w:rsidRDefault="00E85741" w:rsidP="00386211">
      <w:pPr>
        <w:spacing w:line="320" w:lineRule="exact"/>
      </w:pPr>
    </w:p>
    <w:p w:rsidR="00003580" w:rsidRDefault="00796420" w:rsidP="00386211">
      <w:pPr>
        <w:spacing w:line="320" w:lineRule="exact"/>
      </w:pPr>
      <w:r>
        <w:t>Die Kernanliegen</w:t>
      </w:r>
      <w:r w:rsidR="00370619">
        <w:t xml:space="preserve"> der Förderrichtlinie</w:t>
      </w:r>
      <w:r>
        <w:t xml:space="preserve"> sind die Abkopplung von der Mischkanalisation sowie die Verbesserung der kleinräumigen Wasserbilanzen. </w:t>
      </w:r>
      <w:r w:rsidR="00E85741">
        <w:t>D</w:t>
      </w:r>
      <w:r w:rsidR="00370619">
        <w:t>as wichtigste Bewertungsk</w:t>
      </w:r>
      <w:r>
        <w:t xml:space="preserve">riterium ist </w:t>
      </w:r>
      <w:r w:rsidR="00E85741">
        <w:t>die Größe der Maßnahmen.</w:t>
      </w:r>
      <w:r w:rsidR="00E85741" w:rsidRPr="00076FB2">
        <w:t xml:space="preserve"> </w:t>
      </w:r>
      <w:r w:rsidR="00813FE9">
        <w:t>Ab der Größe von 30.000 m² wird die wasserwirtschaftliche Relevanz als gegeben angesehen</w:t>
      </w:r>
      <w:r w:rsidR="00697343">
        <w:rPr>
          <w:rStyle w:val="Funotenzeichen"/>
        </w:rPr>
        <w:footnoteReference w:id="1"/>
      </w:r>
      <w:r w:rsidR="00813FE9">
        <w:t xml:space="preserve">. </w:t>
      </w:r>
      <w:r w:rsidR="00AD20A6">
        <w:t>Daraus folgt,</w:t>
      </w:r>
      <w:r w:rsidR="00697343">
        <w:t xml:space="preserve"> dass </w:t>
      </w:r>
      <w:r w:rsidR="00660473">
        <w:t>nur</w:t>
      </w:r>
      <w:r w:rsidR="00AD20A6">
        <w:t xml:space="preserve"> Maßnahmen</w:t>
      </w:r>
      <w:r w:rsidR="00813FE9">
        <w:t xml:space="preserve"> </w:t>
      </w:r>
      <w:r w:rsidR="00660473">
        <w:t xml:space="preserve">unter 30.000 m² </w:t>
      </w:r>
      <w:r w:rsidR="00813FE9">
        <w:t>mit Hilfe der Mat</w:t>
      </w:r>
      <w:r w:rsidR="00697343">
        <w:t>rix bewertet werden</w:t>
      </w:r>
      <w:r w:rsidR="00AD20A6">
        <w:t xml:space="preserve"> müssen</w:t>
      </w:r>
      <w:r w:rsidR="00813FE9">
        <w:t xml:space="preserve">. </w:t>
      </w:r>
      <w:r w:rsidR="00AD20A6">
        <w:t>Nach der Größe ist d</w:t>
      </w:r>
      <w:r w:rsidR="006814B7">
        <w:t>as nächst</w:t>
      </w:r>
      <w:r w:rsidR="00887CDD">
        <w:t xml:space="preserve">wichtige </w:t>
      </w:r>
      <w:r w:rsidR="00AD20A6">
        <w:t xml:space="preserve">Kriterium </w:t>
      </w:r>
      <w:r w:rsidR="002D18D6">
        <w:t>die Technik</w:t>
      </w:r>
      <w:r>
        <w:t xml:space="preserve"> der Abkopplung (Versickerung und/oder Ableitung)</w:t>
      </w:r>
      <w:r w:rsidR="00887CDD">
        <w:t>. Danach folgen als wichtige Kriterien die gezielte Verdunstung und die Verbesserung des Überflutungsschutzes.</w:t>
      </w:r>
    </w:p>
    <w:p w:rsidR="006814B7" w:rsidRDefault="006814B7" w:rsidP="00386211">
      <w:pPr>
        <w:spacing w:line="320" w:lineRule="exact"/>
      </w:pPr>
    </w:p>
    <w:p w:rsidR="006814B7" w:rsidRDefault="006814B7" w:rsidP="00386211">
      <w:pPr>
        <w:spacing w:line="320" w:lineRule="exact"/>
      </w:pPr>
      <w:r>
        <w:t xml:space="preserve">Die weiteren Kriterien (Steigerung der Aufenthaltsqualität, Steigerung der Biodiversität, </w:t>
      </w:r>
      <w:proofErr w:type="spellStart"/>
      <w:r>
        <w:t>Multifunkionalität</w:t>
      </w:r>
      <w:proofErr w:type="spellEnd"/>
      <w:r>
        <w:t>, Innovationscharakter…) haben keinen Einfluss auf die Kernanliegen, sondern stellen einen eventuellen Zusatznutzen dar. Maßnahmen, die nur hier Punkte bekommen, können die Mindestpunktzahl nicht erreichen.</w:t>
      </w:r>
    </w:p>
    <w:p w:rsidR="002D18D6" w:rsidRPr="00076FB2" w:rsidRDefault="002D18D6" w:rsidP="002D18D6">
      <w:pPr>
        <w:spacing w:line="320" w:lineRule="exact"/>
      </w:pPr>
      <w:r>
        <w:t xml:space="preserve">Dagegen müssen größere Abkopplungsmaßnahmen neben der </w:t>
      </w:r>
      <w:r w:rsidRPr="00076FB2">
        <w:t xml:space="preserve">Technik der Abkopplung nur wenig </w:t>
      </w:r>
      <w:r>
        <w:t>mehr bieten (</w:t>
      </w:r>
      <w:r w:rsidRPr="00076FB2">
        <w:t>z.</w:t>
      </w:r>
      <w:r>
        <w:t xml:space="preserve"> B. in dem die Anlagen schöner </w:t>
      </w:r>
      <w:r w:rsidRPr="00076FB2">
        <w:t>gestaltet werden oder der Verdunstung mehr Raum gegeben wird</w:t>
      </w:r>
      <w:r>
        <w:t>), um die Mindestpunktzahl zu erreichen</w:t>
      </w:r>
      <w:r w:rsidRPr="00076FB2">
        <w:t>.</w:t>
      </w:r>
    </w:p>
    <w:p w:rsidR="002D18D6" w:rsidRDefault="002D18D6" w:rsidP="00386211">
      <w:pPr>
        <w:spacing w:line="320" w:lineRule="exact"/>
      </w:pPr>
    </w:p>
    <w:p w:rsidR="00370619" w:rsidRDefault="00370619" w:rsidP="00386211">
      <w:pPr>
        <w:spacing w:line="320" w:lineRule="exact"/>
      </w:pPr>
      <w:r>
        <w:t xml:space="preserve">Die Bewertungsmatrix dient </w:t>
      </w:r>
      <w:r w:rsidR="000E30B6">
        <w:t xml:space="preserve">sowohl </w:t>
      </w:r>
      <w:r>
        <w:t>der</w:t>
      </w:r>
      <w:r w:rsidR="000E30B6">
        <w:t xml:space="preserve"> EG als Hilfsmittel für die fachliche Vorprüfung von Förderanträgen Dritter (siehe Ziffer 6.2a </w:t>
      </w:r>
      <w:proofErr w:type="spellStart"/>
      <w:r w:rsidR="000E30B6">
        <w:t>FöRL</w:t>
      </w:r>
      <w:proofErr w:type="spellEnd"/>
      <w:r w:rsidR="000E30B6">
        <w:t xml:space="preserve"> </w:t>
      </w:r>
      <w:proofErr w:type="spellStart"/>
      <w:r w:rsidR="000E30B6">
        <w:t>KRiS</w:t>
      </w:r>
      <w:proofErr w:type="spellEnd"/>
      <w:r w:rsidR="000E30B6">
        <w:t xml:space="preserve">) sowie der Bewilligungsbehörde </w:t>
      </w:r>
      <w:proofErr w:type="spellStart"/>
      <w:r w:rsidR="000E30B6">
        <w:t>PtJ</w:t>
      </w:r>
      <w:proofErr w:type="spellEnd"/>
      <w:r w:rsidR="000E30B6">
        <w:t xml:space="preserve"> für die Entscheidung über Förderanträge.</w:t>
      </w:r>
    </w:p>
    <w:p w:rsidR="00076FB2" w:rsidRDefault="00370619" w:rsidP="00076FB2">
      <w:pPr>
        <w:spacing w:line="320" w:lineRule="exact"/>
      </w:pPr>
      <w:r>
        <w:t>D</w:t>
      </w:r>
      <w:r w:rsidR="000E30B6">
        <w:t>es Weiteren soll</w:t>
      </w:r>
      <w:r>
        <w:t xml:space="preserve"> </w:t>
      </w:r>
      <w:r w:rsidR="00A53205">
        <w:t xml:space="preserve">die </w:t>
      </w:r>
      <w:r>
        <w:t>Bewertungsm</w:t>
      </w:r>
      <w:r w:rsidR="00076FB2" w:rsidRPr="00076FB2">
        <w:t>atr</w:t>
      </w:r>
      <w:r w:rsidR="000E30B6">
        <w:t>ix</w:t>
      </w:r>
      <w:r>
        <w:t xml:space="preserve"> von Interessierten</w:t>
      </w:r>
      <w:r w:rsidR="00076FB2" w:rsidRPr="00076FB2">
        <w:t xml:space="preserve"> selber ausgefüllt werden können,</w:t>
      </w:r>
      <w:r>
        <w:t xml:space="preserve"> um einschätzen zu können, ob ein Förderantrag Aussicht auf Erfolg hat.</w:t>
      </w:r>
      <w:r w:rsidR="00076FB2" w:rsidRPr="00076FB2">
        <w:t xml:space="preserve"> </w:t>
      </w:r>
      <w:r>
        <w:t xml:space="preserve">Daher gibt </w:t>
      </w:r>
      <w:r w:rsidR="000E30B6">
        <w:t xml:space="preserve">es </w:t>
      </w:r>
      <w:r w:rsidR="00076FB2" w:rsidRPr="00076FB2">
        <w:t>ein</w:t>
      </w:r>
      <w:r>
        <w:t>e Spalte mit Erklärung</w:t>
      </w:r>
      <w:r w:rsidR="00A53205">
        <w:t>en, wann es bei den Kriterien</w:t>
      </w:r>
      <w:r w:rsidR="00076FB2" w:rsidRPr="00076FB2">
        <w:t xml:space="preserve"> keine Punkte gibt.</w:t>
      </w:r>
    </w:p>
    <w:p w:rsidR="00370619" w:rsidRPr="00076FB2" w:rsidRDefault="00370619" w:rsidP="00076FB2">
      <w:pPr>
        <w:spacing w:line="320" w:lineRule="exact"/>
      </w:pPr>
    </w:p>
    <w:p w:rsidR="00076FB2" w:rsidRDefault="00076FB2" w:rsidP="00386211">
      <w:pPr>
        <w:spacing w:line="320" w:lineRule="exact"/>
      </w:pPr>
      <w:r w:rsidRPr="00076FB2">
        <w:t xml:space="preserve">Eine Evaluierung und bei Bedarf eine Modifizierung </w:t>
      </w:r>
      <w:r w:rsidR="000E30B6">
        <w:t xml:space="preserve">der Bewertungsmatrix </w:t>
      </w:r>
      <w:r w:rsidRPr="00076FB2">
        <w:t>nach den</w:t>
      </w:r>
      <w:r w:rsidR="000E30B6">
        <w:t xml:space="preserve"> ersten Erfahrungen ist</w:t>
      </w:r>
      <w:r w:rsidRPr="00076FB2">
        <w:t xml:space="preserve"> möglich</w:t>
      </w:r>
      <w:r w:rsidR="000E30B6">
        <w:t>.</w:t>
      </w:r>
    </w:p>
    <w:sectPr w:rsidR="00076FB2" w:rsidSect="0038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61" w:right="1361" w:bottom="1049" w:left="1361" w:header="397" w:footer="34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B2" w:rsidRDefault="00076FB2">
      <w:r>
        <w:separator/>
      </w:r>
    </w:p>
  </w:endnote>
  <w:endnote w:type="continuationSeparator" w:id="0">
    <w:p w:rsidR="00076FB2" w:rsidRDefault="000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F5" w:rsidRDefault="00A03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0F" w:rsidRPr="00CA7FED" w:rsidRDefault="00CA7FED" w:rsidP="00CA7FED">
    <w:pPr>
      <w:pStyle w:val="Fuzeile"/>
      <w:jc w:val="right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B3A2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B3A21">
      <w:rPr>
        <w:noProof/>
        <w:sz w:val="20"/>
      </w:rPr>
      <w:t>2</w:t>
    </w:r>
    <w:r>
      <w:rPr>
        <w:sz w:val="20"/>
      </w:rPr>
      <w:fldChar w:fldCharType="end"/>
    </w:r>
    <w:r w:rsidR="00627B0F">
      <w:fldChar w:fldCharType="begin"/>
    </w:r>
    <w:r w:rsidR="00627B0F">
      <w:instrText xml:space="preserve">IF </w:instrText>
    </w:r>
    <w:r w:rsidR="00627B0F">
      <w:fldChar w:fldCharType="begin"/>
    </w:r>
    <w:r w:rsidR="00627B0F">
      <w:instrText>PAGE</w:instrText>
    </w:r>
    <w:r w:rsidR="00627B0F">
      <w:fldChar w:fldCharType="separate"/>
    </w:r>
    <w:r w:rsidR="0086529A">
      <w:rPr>
        <w:noProof/>
      </w:rPr>
      <w:instrText>2</w:instrText>
    </w:r>
    <w:r w:rsidR="00627B0F">
      <w:fldChar w:fldCharType="end"/>
    </w:r>
    <w:r w:rsidR="00627B0F">
      <w:instrText xml:space="preserve"> &lt; </w:instrText>
    </w:r>
    <w:r w:rsidR="00627B0F">
      <w:fldChar w:fldCharType="begin"/>
    </w:r>
    <w:r w:rsidR="00627B0F">
      <w:instrText>NUMPAGES</w:instrText>
    </w:r>
    <w:r w:rsidR="00627B0F">
      <w:fldChar w:fldCharType="separate"/>
    </w:r>
    <w:r w:rsidR="0086529A">
      <w:rPr>
        <w:noProof/>
      </w:rPr>
      <w:instrText>2</w:instrText>
    </w:r>
    <w:r w:rsidR="00627B0F">
      <w:fldChar w:fldCharType="end"/>
    </w:r>
    <w:r w:rsidR="00627B0F">
      <w:instrText xml:space="preserve"> "..." ""</w:instrText>
    </w:r>
    <w:r w:rsidR="00627B0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0F" w:rsidRDefault="00CA7FED">
    <w:pPr>
      <w:pStyle w:val="Fuzeile"/>
      <w:jc w:val="right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B3A2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B3A2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B2" w:rsidRDefault="00076FB2">
      <w:r>
        <w:separator/>
      </w:r>
    </w:p>
  </w:footnote>
  <w:footnote w:type="continuationSeparator" w:id="0">
    <w:p w:rsidR="00076FB2" w:rsidRDefault="00076FB2">
      <w:r>
        <w:continuationSeparator/>
      </w:r>
    </w:p>
  </w:footnote>
  <w:footnote w:id="1">
    <w:p w:rsidR="00697343" w:rsidRDefault="00697343">
      <w:pPr>
        <w:pStyle w:val="Funotentext"/>
      </w:pPr>
      <w:r>
        <w:rPr>
          <w:rStyle w:val="Funotenzeichen"/>
        </w:rPr>
        <w:footnoteRef/>
      </w:r>
      <w:r>
        <w:t xml:space="preserve"> Die Größe von 30.000 m²</w:t>
      </w:r>
      <w:r w:rsidR="00AD20A6">
        <w:t xml:space="preserve"> bzw. 3 ha</w:t>
      </w:r>
      <w:r>
        <w:t xml:space="preserve"> gilt auch</w:t>
      </w:r>
      <w:r w:rsidR="00AD20A6">
        <w:t xml:space="preserve"> in der </w:t>
      </w:r>
      <w:proofErr w:type="spellStart"/>
      <w:r w:rsidR="00AD20A6">
        <w:t>SüwVO</w:t>
      </w:r>
      <w:proofErr w:type="spellEnd"/>
      <w:r w:rsidR="00AD20A6">
        <w:t xml:space="preserve"> </w:t>
      </w:r>
      <w:proofErr w:type="spellStart"/>
      <w:r w:rsidR="00AD20A6">
        <w:t>Abw</w:t>
      </w:r>
      <w:proofErr w:type="spellEnd"/>
      <w:r w:rsidR="00AD20A6">
        <w:t xml:space="preserve"> als Schwelle für die Selbstüberwachung von Abwasseranlagen</w:t>
      </w:r>
      <w:r>
        <w:t xml:space="preserve"> und </w:t>
      </w:r>
      <w:r w:rsidR="00AD20A6">
        <w:t xml:space="preserve">in § 57 LWG </w:t>
      </w:r>
      <w:r>
        <w:t>als Schwelle für Kanal</w:t>
      </w:r>
      <w:r w:rsidR="00AD20A6">
        <w:t>isations</w:t>
      </w:r>
      <w:r>
        <w:t>netzanzeigen.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F5" w:rsidRDefault="00A03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F5" w:rsidRDefault="00A035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8"/>
      <w:gridCol w:w="6803"/>
    </w:tblGrid>
    <w:tr w:rsidR="00A035F5" w:rsidTr="00A035F5">
      <w:trPr>
        <w:cantSplit/>
        <w:hidden/>
      </w:trPr>
      <w:tc>
        <w:tcPr>
          <w:tcW w:w="3388" w:type="dxa"/>
        </w:tcPr>
        <w:p w:rsidR="00A035F5" w:rsidRPr="00FA0DD7" w:rsidRDefault="00A035F5" w:rsidP="00A035F5">
          <w:pPr>
            <w:pStyle w:val="KopfzeileEntwurf"/>
            <w:ind w:left="-70"/>
            <w:jc w:val="left"/>
            <w:rPr>
              <w:noProof/>
              <w:vanish w:val="0"/>
              <w:szCs w:val="16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  <w:p w:rsidR="00A035F5" w:rsidRPr="00FA0DD7" w:rsidRDefault="00A035F5" w:rsidP="00A035F5">
          <w:pPr>
            <w:pStyle w:val="KopfzeileEntwurf"/>
            <w:ind w:left="-70"/>
            <w:jc w:val="left"/>
            <w:rPr>
              <w:noProof/>
              <w:szCs w:val="16"/>
            </w:rPr>
          </w:pPr>
          <w:r w:rsidRPr="00FA0DD7">
            <w:rPr>
              <w:noProof/>
              <w:szCs w:val="16"/>
            </w:rPr>
            <w:fldChar w:fldCharType="begin"/>
          </w:r>
          <w:r w:rsidRPr="00FA0DD7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t xml:space="preserve"> </w:t>
          </w:r>
        </w:p>
        <w:p w:rsidR="00A035F5" w:rsidRPr="00FA0DD7" w:rsidRDefault="00A035F5" w:rsidP="00A035F5">
          <w:pPr>
            <w:pStyle w:val="KopfzeileEntwurf"/>
            <w:ind w:left="-70"/>
            <w:jc w:val="left"/>
            <w:rPr>
              <w:noProof/>
              <w:szCs w:val="16"/>
            </w:rPr>
          </w:pPr>
          <w:r w:rsidRPr="00FA0DD7">
            <w:rPr>
              <w:noProof/>
              <w:szCs w:val="16"/>
            </w:rPr>
            <w:t xml:space="preserve">Geschrieben am: </w:t>
          </w:r>
          <w:r w:rsidRPr="00FA0DD7">
            <w:rPr>
              <w:noProof/>
              <w:szCs w:val="16"/>
            </w:rPr>
            <w:fldChar w:fldCharType="begin"/>
          </w:r>
          <w:r w:rsidRPr="00FA0DD7">
            <w:rPr>
              <w:noProof/>
              <w:szCs w:val="16"/>
            </w:rPr>
            <w:instrText>TIME \@ "dd.MM.yy"</w:instrText>
          </w:r>
          <w:r w:rsidRPr="00FA0DD7">
            <w:rPr>
              <w:noProof/>
              <w:szCs w:val="16"/>
            </w:rPr>
            <w:fldChar w:fldCharType="separate"/>
          </w:r>
          <w:r w:rsidR="0086529A">
            <w:rPr>
              <w:noProof/>
              <w:szCs w:val="16"/>
            </w:rPr>
            <w:t>23.05.22</w:t>
          </w:r>
          <w:r w:rsidRPr="00FA0DD7">
            <w:rPr>
              <w:noProof/>
              <w:szCs w:val="16"/>
            </w:rPr>
            <w:fldChar w:fldCharType="end"/>
          </w:r>
          <w:r w:rsidRPr="00FA0DD7">
            <w:rPr>
              <w:noProof/>
              <w:szCs w:val="16"/>
            </w:rPr>
            <w:t xml:space="preserve">  </w:t>
          </w:r>
        </w:p>
        <w:p w:rsidR="00A035F5" w:rsidRPr="00174AEF" w:rsidRDefault="00A035F5" w:rsidP="00A035F5">
          <w:pPr>
            <w:pStyle w:val="KopfzeileEntwurf"/>
            <w:ind w:left="-70"/>
            <w:jc w:val="left"/>
            <w:rPr>
              <w:noProof/>
              <w:szCs w:val="16"/>
            </w:rPr>
          </w:pPr>
          <w:r w:rsidRPr="00FA0DD7">
            <w:rPr>
              <w:noProof/>
              <w:szCs w:val="16"/>
            </w:rPr>
            <w:t>Abgesandt am: ........................................</w:t>
          </w:r>
        </w:p>
      </w:tc>
      <w:tc>
        <w:tcPr>
          <w:tcW w:w="6803" w:type="dxa"/>
        </w:tcPr>
        <w:p w:rsidR="00A035F5" w:rsidRPr="00C23F60" w:rsidRDefault="00A035F5" w:rsidP="00A035F5">
          <w:pPr>
            <w:pStyle w:val="KopfzeileEntwurf"/>
            <w:spacing w:after="160"/>
            <w:jc w:val="left"/>
            <w:rPr>
              <w:b/>
              <w:noProof/>
              <w:sz w:val="44"/>
              <w:szCs w:val="44"/>
            </w:rPr>
          </w:pPr>
          <w:r w:rsidRPr="00C23F60">
            <w:rPr>
              <w:b/>
              <w:noProof/>
              <w:sz w:val="44"/>
              <w:szCs w:val="44"/>
            </w:rPr>
            <w:t>ENTWURF</w:t>
          </w:r>
        </w:p>
      </w:tc>
    </w:tr>
  </w:tbl>
  <w:p w:rsidR="00627B0F" w:rsidRPr="00A035F5" w:rsidRDefault="00627B0F" w:rsidP="00A035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B2"/>
    <w:rsid w:val="00003580"/>
    <w:rsid w:val="00076FB2"/>
    <w:rsid w:val="000E30B6"/>
    <w:rsid w:val="00106A9C"/>
    <w:rsid w:val="00166EFA"/>
    <w:rsid w:val="00192735"/>
    <w:rsid w:val="001F7095"/>
    <w:rsid w:val="002C7F68"/>
    <w:rsid w:val="002D18D6"/>
    <w:rsid w:val="002F28BD"/>
    <w:rsid w:val="00370619"/>
    <w:rsid w:val="00386211"/>
    <w:rsid w:val="003904D6"/>
    <w:rsid w:val="004E49D1"/>
    <w:rsid w:val="0061514A"/>
    <w:rsid w:val="00627B0F"/>
    <w:rsid w:val="00641F54"/>
    <w:rsid w:val="00654DE1"/>
    <w:rsid w:val="00660473"/>
    <w:rsid w:val="006814B7"/>
    <w:rsid w:val="00697343"/>
    <w:rsid w:val="00761314"/>
    <w:rsid w:val="00796420"/>
    <w:rsid w:val="00813FE9"/>
    <w:rsid w:val="00850379"/>
    <w:rsid w:val="00863CAB"/>
    <w:rsid w:val="0086529A"/>
    <w:rsid w:val="00887CDD"/>
    <w:rsid w:val="008C21A7"/>
    <w:rsid w:val="00965B01"/>
    <w:rsid w:val="009B3A21"/>
    <w:rsid w:val="00A035F5"/>
    <w:rsid w:val="00A53205"/>
    <w:rsid w:val="00A5615B"/>
    <w:rsid w:val="00AD20A6"/>
    <w:rsid w:val="00B36643"/>
    <w:rsid w:val="00CA7FED"/>
    <w:rsid w:val="00E85741"/>
    <w:rsid w:val="00EC51D5"/>
    <w:rsid w:val="00F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D92FB0"/>
  <w15:docId w15:val="{87931EB2-73C5-4E67-A6D3-F71CB403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61314"/>
    <w:pPr>
      <w:spacing w:line="360" w:lineRule="atLeast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Zeilenabst15">
    <w:name w:val="Zeilenabst. 1.5"/>
    <w:basedOn w:val="Standard"/>
    <w:rPr>
      <w:rFonts w:ascii="Courier" w:hAnsi="Courier"/>
    </w:rPr>
  </w:style>
  <w:style w:type="paragraph" w:customStyle="1" w:styleId="BetreffBezug">
    <w:name w:val="Betreff/Bezug"/>
    <w:basedOn w:val="Standard"/>
    <w:pPr>
      <w:spacing w:line="240" w:lineRule="atLeast"/>
      <w:ind w:left="1134" w:hanging="1134"/>
    </w:pPr>
  </w:style>
  <w:style w:type="paragraph" w:customStyle="1" w:styleId="Einrckunghier">
    <w:name w:val="Einrückung/hier"/>
    <w:basedOn w:val="Standard"/>
    <w:pPr>
      <w:spacing w:line="240" w:lineRule="atLeast"/>
      <w:ind w:left="1985" w:hanging="851"/>
    </w:pPr>
  </w:style>
  <w:style w:type="paragraph" w:customStyle="1" w:styleId="KopfzeileEntwurf">
    <w:name w:val="Kopfzeile Entwurf"/>
    <w:basedOn w:val="Standard"/>
    <w:pPr>
      <w:spacing w:line="240" w:lineRule="auto"/>
      <w:jc w:val="center"/>
    </w:pPr>
    <w:rPr>
      <w:vanish/>
      <w:sz w:val="18"/>
    </w:rPr>
  </w:style>
  <w:style w:type="paragraph" w:styleId="Sprechblasentext">
    <w:name w:val="Balloon Text"/>
    <w:basedOn w:val="Standard"/>
    <w:link w:val="SprechblasentextZchn"/>
    <w:rsid w:val="00386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621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69734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97343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97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isteriumsvorlagen\Blanko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C293-BB50-4674-9B49-1BE1220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Blankobogen.dotm</Template>
  <TotalTime>0</TotalTime>
  <Pages>1</Pages>
  <Words>329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MURL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Sudmann, Kirsten</dc:creator>
  <cp:keywords>MURL</cp:keywords>
  <cp:lastModifiedBy>Rickers, Andrea</cp:lastModifiedBy>
  <cp:revision>2</cp:revision>
  <cp:lastPrinted>2011-04-27T08:46:00Z</cp:lastPrinted>
  <dcterms:created xsi:type="dcterms:W3CDTF">2022-05-23T06:01:00Z</dcterms:created>
  <dcterms:modified xsi:type="dcterms:W3CDTF">2022-05-23T06:01:00Z</dcterms:modified>
</cp:coreProperties>
</file>